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DBD4283"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B111D5">
        <w:rPr>
          <w:bCs/>
          <w:noProof w:val="0"/>
          <w:sz w:val="24"/>
          <w:szCs w:val="24"/>
        </w:rPr>
        <w:t>3</w:t>
      </w:r>
      <w:r w:rsidRPr="00FE251B">
        <w:rPr>
          <w:bCs/>
          <w:noProof w:val="0"/>
          <w:sz w:val="24"/>
          <w:szCs w:val="24"/>
        </w:rPr>
        <w:t xml:space="preserve"> </w:t>
      </w:r>
      <w:r w:rsidR="003815DE">
        <w:rPr>
          <w:bCs/>
          <w:noProof w:val="0"/>
          <w:sz w:val="24"/>
          <w:szCs w:val="24"/>
        </w:rPr>
        <w:t>meeting #</w:t>
      </w:r>
      <w:r w:rsidR="006641F1">
        <w:rPr>
          <w:bCs/>
          <w:noProof w:val="0"/>
          <w:sz w:val="24"/>
          <w:szCs w:val="24"/>
        </w:rPr>
        <w:t>AH-1807</w:t>
      </w:r>
      <w:r w:rsidR="00CD4C7B" w:rsidRPr="00B266B0">
        <w:rPr>
          <w:bCs/>
          <w:noProof w:val="0"/>
          <w:sz w:val="24"/>
          <w:szCs w:val="24"/>
        </w:rPr>
        <w:tab/>
      </w:r>
      <w:r w:rsidR="00E7127F" w:rsidRPr="00E7127F">
        <w:rPr>
          <w:bCs/>
          <w:noProof w:val="0"/>
          <w:sz w:val="24"/>
          <w:szCs w:val="24"/>
        </w:rPr>
        <w:t>R3-183741</w:t>
      </w:r>
    </w:p>
    <w:p w14:paraId="231362B2" w14:textId="20534B1B" w:rsidR="00CD4C7B" w:rsidRPr="00B266B0" w:rsidRDefault="006641F1" w:rsidP="00CD4C7B">
      <w:pPr>
        <w:pStyle w:val="Header"/>
        <w:tabs>
          <w:tab w:val="right" w:pos="9639"/>
        </w:tabs>
        <w:rPr>
          <w:bCs/>
          <w:noProof w:val="0"/>
          <w:sz w:val="24"/>
          <w:szCs w:val="24"/>
        </w:rPr>
      </w:pPr>
      <w:r>
        <w:rPr>
          <w:rFonts w:eastAsia="SimSun"/>
          <w:noProof w:val="0"/>
          <w:sz w:val="24"/>
          <w:szCs w:val="24"/>
          <w:lang w:eastAsia="zh-CN"/>
        </w:rPr>
        <w:t>Montreal, Canada</w:t>
      </w:r>
      <w:r w:rsidR="00C24650" w:rsidRPr="00C24650">
        <w:rPr>
          <w:rFonts w:eastAsia="SimSun"/>
          <w:noProof w:val="0"/>
          <w:sz w:val="24"/>
          <w:szCs w:val="24"/>
          <w:lang w:eastAsia="zh-CN"/>
        </w:rPr>
        <w:t xml:space="preserve">, </w:t>
      </w:r>
      <w:r w:rsidR="005C1C2C">
        <w:rPr>
          <w:rFonts w:eastAsia="SimSun"/>
          <w:noProof w:val="0"/>
          <w:sz w:val="24"/>
          <w:szCs w:val="24"/>
          <w:lang w:eastAsia="zh-CN"/>
        </w:rPr>
        <w:t>2</w:t>
      </w:r>
      <w:r w:rsidR="00FE251B">
        <w:rPr>
          <w:rFonts w:eastAsia="SimSun"/>
          <w:noProof w:val="0"/>
          <w:sz w:val="24"/>
          <w:szCs w:val="24"/>
          <w:lang w:eastAsia="zh-CN"/>
        </w:rPr>
        <w:t xml:space="preserve"> – </w:t>
      </w:r>
      <w:r>
        <w:rPr>
          <w:rFonts w:eastAsia="SimSun"/>
          <w:noProof w:val="0"/>
          <w:sz w:val="24"/>
          <w:szCs w:val="24"/>
          <w:lang w:eastAsia="zh-CN"/>
        </w:rPr>
        <w:t>6</w:t>
      </w:r>
      <w:r w:rsidR="00FE251B">
        <w:rPr>
          <w:rFonts w:eastAsia="SimSun"/>
          <w:noProof w:val="0"/>
          <w:sz w:val="24"/>
          <w:szCs w:val="24"/>
          <w:lang w:eastAsia="zh-CN"/>
        </w:rPr>
        <w:t xml:space="preserve"> </w:t>
      </w:r>
      <w:r>
        <w:rPr>
          <w:rFonts w:eastAsia="SimSun"/>
          <w:noProof w:val="0"/>
          <w:sz w:val="24"/>
          <w:szCs w:val="24"/>
          <w:lang w:eastAsia="zh-CN"/>
        </w:rPr>
        <w:t>July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500E1B9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127F" w:rsidRPr="00E7127F">
        <w:rPr>
          <w:rFonts w:cs="Arial"/>
          <w:b/>
          <w:bCs/>
          <w:sz w:val="24"/>
          <w:lang w:eastAsia="ja-JP"/>
        </w:rPr>
        <w:t>31.3.4</w:t>
      </w:r>
    </w:p>
    <w:p w14:paraId="6A1BC0C1" w14:textId="35BB764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E7127F">
        <w:rPr>
          <w:rFonts w:ascii="Arial" w:hAnsi="Arial" w:cs="Arial"/>
          <w:b/>
          <w:bCs/>
          <w:sz w:val="24"/>
        </w:rPr>
        <w:t>, Ericsson</w:t>
      </w:r>
    </w:p>
    <w:p w14:paraId="45BE90BE" w14:textId="74AF45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1F1" w:rsidRPr="006641F1">
        <w:rPr>
          <w:rFonts w:ascii="Arial" w:hAnsi="Arial" w:cs="Arial"/>
          <w:b/>
          <w:bCs/>
          <w:sz w:val="24"/>
        </w:rPr>
        <w:t>Indication of the RLC re-establishment</w:t>
      </w:r>
    </w:p>
    <w:p w14:paraId="2CA18F80" w14:textId="3E8D634E" w:rsidR="0076378A"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6378A">
        <w:rPr>
          <w:rFonts w:ascii="Arial" w:hAnsi="Arial" w:cs="Arial"/>
          <w:b/>
          <w:bCs/>
          <w:sz w:val="24"/>
        </w:rPr>
        <w:t>Discussion</w:t>
      </w:r>
    </w:p>
    <w:p w14:paraId="799D53E3" w14:textId="77777777" w:rsidR="0099610B" w:rsidRPr="00B266B0" w:rsidRDefault="0099610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C3C947F" w14:textId="2F98FAC7" w:rsidR="00505BEA" w:rsidRDefault="00A732CE" w:rsidP="00CD4C7B">
      <w:r>
        <w:t>RAN3#98 agreed to support exchange of Uplink configuration between dual-connectivity Master node and Secondary node as proposed in [1], serving the purpose of switching the uplink used on a split bearer.</w:t>
      </w:r>
    </w:p>
    <w:p w14:paraId="1AD95F57" w14:textId="624DE755" w:rsidR="00A732CE" w:rsidRDefault="00A732CE" w:rsidP="00CD4C7B">
      <w:r>
        <w:t>During the same meeting, RAN2#100 agreed the following.</w:t>
      </w:r>
    </w:p>
    <w:p w14:paraId="1FE66D15"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Agreements</w:t>
      </w:r>
    </w:p>
    <w:p w14:paraId="65F385BC"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1:</w:t>
      </w:r>
      <w:r>
        <w:tab/>
        <w:t xml:space="preserve">RRC Connection Reconfiguration that switches the uplink path can explicitly indicate (using existing indicators) whether the UE, for a given split bearer, shall perform re-establishment of an RLC and PDCP data recovery. </w:t>
      </w:r>
    </w:p>
    <w:p w14:paraId="646B1425" w14:textId="77777777" w:rsidR="00CB167C" w:rsidRDefault="00CB167C" w:rsidP="00CD4C7B"/>
    <w:p w14:paraId="368D15A4" w14:textId="1E7A36FA" w:rsidR="004B1D82" w:rsidRDefault="004B1D82" w:rsidP="00CD4C7B">
      <w:r>
        <w:t xml:space="preserve">RLC re-establishment is commanded by the node controlling the radio interface, but shall be executed at the same time as the PDCP data recovery is commanded – otherwise, </w:t>
      </w:r>
      <w:r w:rsidR="001338E9">
        <w:t xml:space="preserve">some data </w:t>
      </w:r>
      <w:r w:rsidR="00042BD2">
        <w:t>already transferred to the RLC, but not delivered will be lost forever</w:t>
      </w:r>
      <w:r w:rsidR="001338E9">
        <w:t xml:space="preserve">. In EN-DC deployment, the hosting node controls the PDCP, while the assisting node controls RLC. However, the RRC configuration is sent as a combined RRC message that will contain both parts. Therefore, the problem is how to make sure that the PDCP data recovery command from the hosting node and the RLC reset command are combined in the same message, </w:t>
      </w:r>
      <w:r w:rsidR="00255648">
        <w:t>given that</w:t>
      </w:r>
      <w:r w:rsidR="001338E9">
        <w:t xml:space="preserve"> the assisting node </w:t>
      </w:r>
      <w:r w:rsidR="00255648">
        <w:t xml:space="preserve">is </w:t>
      </w:r>
      <w:r w:rsidR="001338E9">
        <w:t xml:space="preserve">not </w:t>
      </w:r>
      <w:r w:rsidR="00255648">
        <w:t xml:space="preserve">required to </w:t>
      </w:r>
      <w:r w:rsidR="001338E9">
        <w:t>“understand” hosting node’s RRC.</w:t>
      </w:r>
    </w:p>
    <w:p w14:paraId="519BD87B" w14:textId="5B38FD18" w:rsidR="005C1C2C" w:rsidRDefault="005C1C2C" w:rsidP="00CD4C7B">
      <w:r>
        <w:t xml:space="preserve">This paper </w:t>
      </w:r>
      <w:r w:rsidR="006641F1">
        <w:t>is based on discussion papers provided</w:t>
      </w:r>
      <w:r>
        <w:t xml:space="preserve"> to the RAN3 #99-bis</w:t>
      </w:r>
      <w:r w:rsidR="006641F1">
        <w:t xml:space="preserve"> and #100 meetings</w:t>
      </w:r>
      <w:r>
        <w:t>.</w:t>
      </w:r>
    </w:p>
    <w:p w14:paraId="127ACA6D" w14:textId="6B57EC97" w:rsidR="00CD4C7B" w:rsidRPr="006E13D1" w:rsidRDefault="00CD4C7B" w:rsidP="00CD4C7B">
      <w:pPr>
        <w:pStyle w:val="Heading1"/>
      </w:pPr>
      <w:r w:rsidRPr="006E13D1">
        <w:t>2</w:t>
      </w:r>
      <w:r w:rsidRPr="006E13D1">
        <w:tab/>
      </w:r>
      <w:r w:rsidR="00505BEA">
        <w:t>Discussion</w:t>
      </w:r>
    </w:p>
    <w:p w14:paraId="0F416416" w14:textId="18FC52B8" w:rsidR="00900E55" w:rsidRDefault="000502FD" w:rsidP="00900E55">
      <w:r>
        <w:t xml:space="preserve">As discussed in RAN2, the RLC needs to be reset in case of the outage. </w:t>
      </w:r>
      <w:r w:rsidR="00900E55">
        <w:t xml:space="preserve">In single-connectivity deployment, there is only one node that controls the RLC and </w:t>
      </w:r>
      <w:r w:rsidR="00042BD2">
        <w:t>PDCP</w:t>
      </w:r>
      <w:r w:rsidR="00900E55">
        <w:t xml:space="preserve">. Hence no problem there. However, in EN-DC, the </w:t>
      </w:r>
      <w:r w:rsidR="00042BD2">
        <w:t xml:space="preserve">RLC </w:t>
      </w:r>
      <w:r w:rsidR="00900E55">
        <w:t>reset has to be executed at the assisting node, whi</w:t>
      </w:r>
      <w:r w:rsidR="001A0A96">
        <w:t>le</w:t>
      </w:r>
      <w:r w:rsidR="00900E55">
        <w:t xml:space="preserve"> the control of the </w:t>
      </w:r>
      <w:r w:rsidR="001A0A96">
        <w:t xml:space="preserve">PDCP </w:t>
      </w:r>
      <w:r w:rsidR="00900E55">
        <w:t>is in the hosting node.</w:t>
      </w:r>
      <w:r>
        <w:t xml:space="preserve"> </w:t>
      </w:r>
      <w:r w:rsidR="00042BD2">
        <w:t>Both</w:t>
      </w:r>
      <w:r>
        <w:t xml:space="preserve"> node</w:t>
      </w:r>
      <w:r w:rsidR="00042BD2">
        <w:t>s</w:t>
      </w:r>
      <w:r>
        <w:t xml:space="preserve"> know the reset </w:t>
      </w:r>
      <w:r w:rsidR="00042BD2">
        <w:t>and thus PDCP data recovery are</w:t>
      </w:r>
      <w:r>
        <w:t xml:space="preserve"> needed</w:t>
      </w:r>
      <w:r w:rsidR="00042BD2">
        <w:t>, but if each acts on its own, they may have trouble to synchronise their actions.</w:t>
      </w:r>
      <w:r>
        <w:t xml:space="preserve"> </w:t>
      </w:r>
    </w:p>
    <w:p w14:paraId="792F8F8C" w14:textId="4B9731E2" w:rsidR="002E4E7C" w:rsidRPr="005D42AA" w:rsidRDefault="003878CC" w:rsidP="002E4E7C">
      <w:pPr>
        <w:rPr>
          <w:b/>
        </w:rPr>
      </w:pPr>
      <w:r>
        <w:rPr>
          <w:b/>
        </w:rPr>
        <w:t>Observation</w:t>
      </w:r>
      <w:r w:rsidR="002E4E7C" w:rsidRPr="005D42AA">
        <w:rPr>
          <w:b/>
        </w:rPr>
        <w:t xml:space="preserve">: </w:t>
      </w:r>
      <w:r w:rsidR="004B21EC" w:rsidRPr="004B21EC">
        <w:rPr>
          <w:b/>
        </w:rPr>
        <w:t xml:space="preserve">Current solution for UL switching does not offer a clear indication of when the RLC reset </w:t>
      </w:r>
      <w:r w:rsidR="00042BD2">
        <w:rPr>
          <w:b/>
        </w:rPr>
        <w:t>be executed</w:t>
      </w:r>
      <w:r w:rsidR="004B21EC" w:rsidRPr="004B21EC">
        <w:rPr>
          <w:b/>
        </w:rPr>
        <w:t>.</w:t>
      </w:r>
      <w:r w:rsidR="000502FD">
        <w:rPr>
          <w:b/>
        </w:rPr>
        <w:t xml:space="preserve"> </w:t>
      </w:r>
      <w:r w:rsidR="001E6723">
        <w:rPr>
          <w:b/>
        </w:rPr>
        <w:t xml:space="preserve">In order to avoid data loss, </w:t>
      </w:r>
      <w:r w:rsidR="00913621">
        <w:rPr>
          <w:b/>
        </w:rPr>
        <w:t>reset based on the outage detection is not enough</w:t>
      </w:r>
      <w:r w:rsidR="002E4E7C">
        <w:rPr>
          <w:b/>
        </w:rPr>
        <w:t>.</w:t>
      </w:r>
    </w:p>
    <w:p w14:paraId="4A52A726" w14:textId="77777777" w:rsidR="006641F1" w:rsidRDefault="003815DE" w:rsidP="00CD4C7B">
      <w:r>
        <w:t xml:space="preserve">The assisting node </w:t>
      </w:r>
      <w:r w:rsidR="00547958">
        <w:t>could assume</w:t>
      </w:r>
      <w:r>
        <w:t xml:space="preserve"> that the message bearing the </w:t>
      </w:r>
      <w:r w:rsidRPr="003815DE">
        <w:rPr>
          <w:i/>
        </w:rPr>
        <w:t>UL Configuration</w:t>
      </w:r>
      <w:r>
        <w:t xml:space="preserve"> IE</w:t>
      </w:r>
      <w:r w:rsidR="000148BC">
        <w:t xml:space="preserve">, sent </w:t>
      </w:r>
      <w:r w:rsidR="00AD3E33">
        <w:t xml:space="preserve">right </w:t>
      </w:r>
      <w:r w:rsidR="000148BC">
        <w:t>after outage was indicated over UP,</w:t>
      </w:r>
      <w:r>
        <w:t xml:space="preserve"> contains also the </w:t>
      </w:r>
      <w:r w:rsidR="00547958">
        <w:t>PDCP-recovery</w:t>
      </w:r>
      <w:r>
        <w:t xml:space="preserve"> indication for the UE – and </w:t>
      </w:r>
      <w:r w:rsidR="00547958">
        <w:t xml:space="preserve">correspondingly </w:t>
      </w:r>
      <w:r>
        <w:t xml:space="preserve">execute own </w:t>
      </w:r>
      <w:r w:rsidR="00547958">
        <w:t xml:space="preserve">RLC </w:t>
      </w:r>
      <w:r>
        <w:t xml:space="preserve">reset when receiving it. However, this is </w:t>
      </w:r>
      <w:r w:rsidR="000148BC">
        <w:t xml:space="preserve">prone to errors: if the outage and availability toggles often (which is actually the reason RAN3 decided to signal it over UP), then matching the </w:t>
      </w:r>
      <w:r w:rsidR="000148BC" w:rsidRPr="000148BC">
        <w:rPr>
          <w:i/>
        </w:rPr>
        <w:t>UL Configuration</w:t>
      </w:r>
      <w:r w:rsidR="000148BC">
        <w:t xml:space="preserve"> IE to the right indication may be hard. </w:t>
      </w:r>
    </w:p>
    <w:p w14:paraId="4F25337C" w14:textId="7DD1D0B1" w:rsidR="006641F1" w:rsidRDefault="006641F1" w:rsidP="00CD4C7B">
      <w:r>
        <w:t xml:space="preserve">In order to resolve it, it was discussed at RAN3 #100 meeting that a separate indication is needed: either from the assisting node to indicate that the RLC Re-establishment has been performed and the hosting node shall execute PDCP data recovery, or from the hosting node that the PDCP data recovery was commended and therefore this is the opportunity to execute the RLC Re-establishment. </w:t>
      </w:r>
    </w:p>
    <w:p w14:paraId="75401EBE" w14:textId="1BDABA88" w:rsidR="003878CC" w:rsidRDefault="003878CC" w:rsidP="00CD4C7B">
      <w:r>
        <w:t>Considering the two options, the former seems preferable: it is the assisting node that knows when the RLC shall be re-established and therefore the indication shall come from this point.</w:t>
      </w:r>
    </w:p>
    <w:p w14:paraId="2EF57745" w14:textId="4B2444EF" w:rsidR="00BC2094" w:rsidRPr="005D42AA" w:rsidRDefault="005D42AA" w:rsidP="00D35750">
      <w:pPr>
        <w:rPr>
          <w:b/>
        </w:rPr>
      </w:pPr>
      <w:r w:rsidRPr="005D42AA">
        <w:rPr>
          <w:b/>
        </w:rPr>
        <w:lastRenderedPageBreak/>
        <w:t xml:space="preserve">Proposal: In order to enable synchronous </w:t>
      </w:r>
      <w:r w:rsidR="00096ACA">
        <w:rPr>
          <w:b/>
        </w:rPr>
        <w:t xml:space="preserve">execution </w:t>
      </w:r>
      <w:r w:rsidRPr="005D42AA">
        <w:rPr>
          <w:b/>
        </w:rPr>
        <w:t xml:space="preserve">of the RLC </w:t>
      </w:r>
      <w:r w:rsidR="003878CC">
        <w:rPr>
          <w:b/>
        </w:rPr>
        <w:t>re-establishment</w:t>
      </w:r>
      <w:r w:rsidR="00096ACA">
        <w:rPr>
          <w:b/>
        </w:rPr>
        <w:t xml:space="preserve"> and the PDCP data recovery</w:t>
      </w:r>
      <w:r w:rsidRPr="005D42AA">
        <w:rPr>
          <w:b/>
        </w:rPr>
        <w:t xml:space="preserve">, it is proposed to </w:t>
      </w:r>
      <w:r w:rsidR="003878CC">
        <w:rPr>
          <w:b/>
        </w:rPr>
        <w:t xml:space="preserve">enable </w:t>
      </w:r>
      <w:r w:rsidRPr="005D42AA">
        <w:rPr>
          <w:b/>
        </w:rPr>
        <w:t xml:space="preserve">the assisting node </w:t>
      </w:r>
      <w:r w:rsidR="003878CC">
        <w:rPr>
          <w:b/>
        </w:rPr>
        <w:t xml:space="preserve">to indicate </w:t>
      </w:r>
      <w:r w:rsidRPr="005D42AA">
        <w:rPr>
          <w:b/>
        </w:rPr>
        <w:t xml:space="preserve">when the UE is </w:t>
      </w:r>
      <w:r w:rsidR="00AA267E">
        <w:rPr>
          <w:b/>
        </w:rPr>
        <w:t>commanded</w:t>
      </w:r>
      <w:r w:rsidR="00AA267E" w:rsidRPr="005D42AA">
        <w:rPr>
          <w:b/>
        </w:rPr>
        <w:t xml:space="preserve"> </w:t>
      </w:r>
      <w:r w:rsidRPr="005D42AA">
        <w:rPr>
          <w:b/>
        </w:rPr>
        <w:t xml:space="preserve">to </w:t>
      </w:r>
      <w:r w:rsidR="00096ACA">
        <w:rPr>
          <w:b/>
        </w:rPr>
        <w:t xml:space="preserve">perform </w:t>
      </w:r>
      <w:r w:rsidR="003878CC">
        <w:rPr>
          <w:b/>
        </w:rPr>
        <w:t>RLC re-establishment</w:t>
      </w:r>
      <w:r w:rsidRPr="005D42AA">
        <w:rPr>
          <w:b/>
        </w:rPr>
        <w:t>.</w:t>
      </w:r>
    </w:p>
    <w:p w14:paraId="43A12B72" w14:textId="324C92BC" w:rsidR="00CD4C7B" w:rsidRPr="008032A7" w:rsidRDefault="00037792" w:rsidP="00CD4C7B">
      <w:pPr>
        <w:pStyle w:val="Heading1"/>
        <w:rPr>
          <w:lang w:val="en-US"/>
        </w:rPr>
      </w:pPr>
      <w:r w:rsidRPr="008032A7">
        <w:rPr>
          <w:lang w:val="en-US"/>
        </w:rPr>
        <w:t>3</w:t>
      </w:r>
      <w:r w:rsidR="00CD4C7B" w:rsidRPr="008032A7">
        <w:rPr>
          <w:lang w:val="en-US"/>
        </w:rPr>
        <w:tab/>
      </w:r>
      <w:r w:rsidRPr="008032A7">
        <w:rPr>
          <w:lang w:val="en-US"/>
        </w:rPr>
        <w:t>Conclusion</w:t>
      </w:r>
    </w:p>
    <w:p w14:paraId="390EDE81" w14:textId="77777777" w:rsidR="002E4E7C" w:rsidRDefault="008032A7" w:rsidP="008032A7">
      <w:pPr>
        <w:rPr>
          <w:lang w:val="en-US"/>
        </w:rPr>
      </w:pPr>
      <w:r w:rsidRPr="004E4B6F">
        <w:rPr>
          <w:lang w:val="en-US"/>
        </w:rPr>
        <w:t>In this paper</w:t>
      </w:r>
      <w:r>
        <w:rPr>
          <w:lang w:val="en-US"/>
        </w:rPr>
        <w:t>,</w:t>
      </w:r>
      <w:r w:rsidRPr="004E4B6F">
        <w:rPr>
          <w:lang w:val="en-US"/>
        </w:rPr>
        <w:t xml:space="preserve"> the impacts of the last-moment </w:t>
      </w:r>
      <w:r>
        <w:rPr>
          <w:lang w:val="en-US"/>
        </w:rPr>
        <w:t xml:space="preserve">RAN2 decisions concerning RLC reset on EN-DC solution are presented. </w:t>
      </w:r>
    </w:p>
    <w:p w14:paraId="6C746F20" w14:textId="1B327914" w:rsidR="002E4E7C" w:rsidRPr="002E4E7C" w:rsidRDefault="007A5E17" w:rsidP="003878CC">
      <w:pPr>
        <w:ind w:left="567" w:right="569"/>
      </w:pPr>
      <w:r>
        <w:t>Observation</w:t>
      </w:r>
      <w:r w:rsidR="004B21EC" w:rsidRPr="004B21EC">
        <w:t xml:space="preserve">: </w:t>
      </w:r>
      <w:r w:rsidR="003878CC" w:rsidRPr="003878CC">
        <w:t>Current solution for UL switching does not offer a clear indication of when the RLC reset be executed. In order to avoid data loss, reset based on the outage detection is not enough.</w:t>
      </w:r>
    </w:p>
    <w:p w14:paraId="0914DC62" w14:textId="19248E9D" w:rsidR="002E4E7C" w:rsidRPr="002E4E7C" w:rsidRDefault="002E4E7C" w:rsidP="008F3B5F">
      <w:pPr>
        <w:ind w:left="567" w:right="569"/>
      </w:pPr>
      <w:r w:rsidRPr="002E4E7C">
        <w:t xml:space="preserve">Proposal: </w:t>
      </w:r>
      <w:r w:rsidR="003878CC" w:rsidRPr="003878CC">
        <w:t>In order to enable synchronous execution of the RLC re-establishment and the PDCP data recovery, it is proposed to enable the assisting node to indicate when the UE is commanded to perform RLC re-establishment.</w:t>
      </w:r>
    </w:p>
    <w:p w14:paraId="0030412B" w14:textId="5C427A07" w:rsidR="008032A7" w:rsidRPr="004E4B6F" w:rsidRDefault="003878CC" w:rsidP="008032A7">
      <w:pPr>
        <w:rPr>
          <w:lang w:val="en-US"/>
        </w:rPr>
      </w:pPr>
      <w:r>
        <w:rPr>
          <w:lang w:val="en-US"/>
        </w:rPr>
        <w:t xml:space="preserve">A </w:t>
      </w:r>
      <w:r w:rsidR="00A25BB8">
        <w:rPr>
          <w:lang w:val="en-US"/>
        </w:rPr>
        <w:t>CR</w:t>
      </w:r>
      <w:r>
        <w:rPr>
          <w:lang w:val="en-US"/>
        </w:rPr>
        <w:t xml:space="preserve"> implementing the above proposal is presented </w:t>
      </w:r>
      <w:r w:rsidR="00A25BB8">
        <w:rPr>
          <w:lang w:val="en-US"/>
        </w:rPr>
        <w:t>in [2]</w:t>
      </w:r>
      <w:r>
        <w:rPr>
          <w:lang w:val="en-US"/>
        </w:rPr>
        <w:t xml:space="preserve">. A separate document </w:t>
      </w:r>
      <w:r w:rsidR="002E3E5E">
        <w:rPr>
          <w:lang w:val="en-US"/>
        </w:rPr>
        <w:t xml:space="preserve">at this meeting </w:t>
      </w:r>
      <w:bookmarkStart w:id="0" w:name="_GoBack"/>
      <w:bookmarkEnd w:id="0"/>
      <w:r>
        <w:rPr>
          <w:lang w:val="en-US"/>
        </w:rPr>
        <w:t>enables the indication in F1AP.</w:t>
      </w:r>
    </w:p>
    <w:p w14:paraId="0FDCFAC2" w14:textId="09371F18" w:rsidR="00CD4C7B" w:rsidRPr="006E13D1" w:rsidRDefault="003878CC" w:rsidP="00CD4C7B">
      <w:pPr>
        <w:pStyle w:val="Heading1"/>
      </w:pPr>
      <w:r>
        <w:t>4</w:t>
      </w:r>
      <w:r>
        <w:tab/>
      </w:r>
      <w:r w:rsidR="00CD4C7B" w:rsidRPr="006E13D1">
        <w:t>References</w:t>
      </w:r>
    </w:p>
    <w:p w14:paraId="4AA5C936" w14:textId="5DDA5378" w:rsidR="00CD4C7B" w:rsidRDefault="002925F2" w:rsidP="002925F2">
      <w:pPr>
        <w:numPr>
          <w:ilvl w:val="0"/>
          <w:numId w:val="4"/>
        </w:numPr>
        <w:overflowPunct w:val="0"/>
        <w:autoSpaceDE w:val="0"/>
        <w:autoSpaceDN w:val="0"/>
        <w:adjustRightInd w:val="0"/>
        <w:textAlignment w:val="baseline"/>
      </w:pPr>
      <w:bookmarkStart w:id="1" w:name="_Ref75086397"/>
      <w:r w:rsidRPr="002925F2">
        <w:t>R3-175047</w:t>
      </w:r>
      <w:r w:rsidR="00CD4C7B" w:rsidRPr="006E13D1">
        <w:t xml:space="preserve"> </w:t>
      </w:r>
      <w:bookmarkEnd w:id="1"/>
      <w:r w:rsidRPr="002925F2">
        <w:rPr>
          <w:i/>
          <w:iCs/>
        </w:rPr>
        <w:t>Switching of the UL link</w:t>
      </w:r>
      <w:r w:rsidR="0090466A">
        <w:t xml:space="preserve"> - </w:t>
      </w:r>
      <w:r w:rsidR="00F76635" w:rsidRPr="00F76635">
        <w:t>Nokia, Nokia Shanghai Bell</w:t>
      </w:r>
    </w:p>
    <w:p w14:paraId="49B2454B" w14:textId="4DA29267" w:rsidR="00F76635" w:rsidRDefault="00E7127F" w:rsidP="00E7127F">
      <w:pPr>
        <w:numPr>
          <w:ilvl w:val="0"/>
          <w:numId w:val="4"/>
        </w:numPr>
        <w:overflowPunct w:val="0"/>
        <w:autoSpaceDE w:val="0"/>
        <w:autoSpaceDN w:val="0"/>
        <w:adjustRightInd w:val="0"/>
        <w:textAlignment w:val="baseline"/>
      </w:pPr>
      <w:r>
        <w:t>R3-183742</w:t>
      </w:r>
      <w:r w:rsidR="00A23F95">
        <w:t>, RAN3 #</w:t>
      </w:r>
      <w:r w:rsidR="003878CC">
        <w:t>AH-1807</w:t>
      </w:r>
    </w:p>
    <w:p w14:paraId="63F2716E" w14:textId="77777777" w:rsidR="00A25BB8" w:rsidRPr="006E13D1" w:rsidRDefault="00A25BB8" w:rsidP="00A25BB8">
      <w:pPr>
        <w:overflowPunct w:val="0"/>
        <w:autoSpaceDE w:val="0"/>
        <w:autoSpaceDN w:val="0"/>
        <w:adjustRightInd w:val="0"/>
        <w:textAlignment w:val="baseline"/>
      </w:pPr>
    </w:p>
    <w:sectPr w:rsidR="00A25BB8" w:rsidRPr="006E13D1" w:rsidSect="00D6551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68B3" w14:textId="77777777" w:rsidR="00D86A07" w:rsidRDefault="00D86A07">
      <w:r>
        <w:separator/>
      </w:r>
    </w:p>
  </w:endnote>
  <w:endnote w:type="continuationSeparator" w:id="0">
    <w:p w14:paraId="1C4AB8FA" w14:textId="77777777" w:rsidR="00D86A07" w:rsidRDefault="00D8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DengXian">
    <w:altName w:val="µČĎß"/>
    <w:panose1 w:val="02010600030101010101"/>
    <w:charset w:val="86"/>
    <w:family w:val="auto"/>
    <w:pitch w:val="variable"/>
    <w:sig w:usb0="A00002BF" w:usb1="38CF7CFA" w:usb2="00000016" w:usb3="00000000" w:csb0="0004000F" w:csb1="00000000"/>
  </w:font>
  <w:font w:name="SimSun">
    <w:altName w:val="ËÎĚĺ"/>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D4040" w14:textId="77777777" w:rsidR="00AA6093" w:rsidRDefault="00AA6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7F54" w14:textId="77777777" w:rsidR="00AA6093" w:rsidRDefault="00AA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AD8A1" w14:textId="77777777" w:rsidR="00AA6093" w:rsidRDefault="00AA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CDA68" w14:textId="77777777" w:rsidR="00D86A07" w:rsidRDefault="00D86A07">
      <w:r>
        <w:separator/>
      </w:r>
    </w:p>
  </w:footnote>
  <w:footnote w:type="continuationSeparator" w:id="0">
    <w:p w14:paraId="7FA72FF0" w14:textId="77777777" w:rsidR="00D86A07" w:rsidRDefault="00D8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9A843" w14:textId="77777777" w:rsidR="00B72AB0" w:rsidRDefault="00B72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40C" w14:textId="77777777" w:rsidR="00B72AB0" w:rsidRDefault="00B72AB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F7AA3" w14:textId="77777777" w:rsidR="00B72AB0" w:rsidRDefault="00B72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6C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498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4C6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F0130E8"/>
    <w:multiLevelType w:val="hybridMultilevel"/>
    <w:tmpl w:val="E728B108"/>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2901D64"/>
    <w:multiLevelType w:val="hybridMultilevel"/>
    <w:tmpl w:val="B792EE96"/>
    <w:lvl w:ilvl="0" w:tplc="58C63D0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97B04A9"/>
    <w:multiLevelType w:val="hybridMultilevel"/>
    <w:tmpl w:val="C8F26F7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8B9635D"/>
    <w:multiLevelType w:val="hybridMultilevel"/>
    <w:tmpl w:val="7CD09F48"/>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start w:val="1"/>
      <w:numFmt w:val="bullet"/>
      <w:lvlText w:val=""/>
      <w:lvlJc w:val="left"/>
      <w:pPr>
        <w:ind w:left="1124" w:hanging="420"/>
      </w:pPr>
      <w:rPr>
        <w:rFonts w:ascii="Calibri Light" w:hAnsi="Calibri Light" w:hint="default"/>
      </w:rPr>
    </w:lvl>
    <w:lvl w:ilvl="2" w:tplc="04090005">
      <w:start w:val="1"/>
      <w:numFmt w:val="bullet"/>
      <w:lvlText w:val=""/>
      <w:lvlJc w:val="left"/>
      <w:pPr>
        <w:ind w:left="1544" w:hanging="420"/>
      </w:pPr>
      <w:rPr>
        <w:rFonts w:ascii="Calibri Light" w:hAnsi="Calibri Light" w:hint="default"/>
      </w:rPr>
    </w:lvl>
    <w:lvl w:ilvl="3" w:tplc="04090001">
      <w:start w:val="1"/>
      <w:numFmt w:val="bullet"/>
      <w:lvlText w:val=""/>
      <w:lvlJc w:val="left"/>
      <w:pPr>
        <w:ind w:left="1964" w:hanging="420"/>
      </w:pPr>
      <w:rPr>
        <w:rFonts w:ascii="Calibri Light" w:hAnsi="Calibri Light" w:hint="default"/>
      </w:rPr>
    </w:lvl>
    <w:lvl w:ilvl="4" w:tplc="04090003">
      <w:start w:val="1"/>
      <w:numFmt w:val="bullet"/>
      <w:lvlText w:val=""/>
      <w:lvlJc w:val="left"/>
      <w:pPr>
        <w:ind w:left="2384" w:hanging="420"/>
      </w:pPr>
      <w:rPr>
        <w:rFonts w:ascii="Calibri Light" w:hAnsi="Calibri Light" w:hint="default"/>
      </w:rPr>
    </w:lvl>
    <w:lvl w:ilvl="5" w:tplc="04090005">
      <w:start w:val="1"/>
      <w:numFmt w:val="bullet"/>
      <w:lvlText w:val=""/>
      <w:lvlJc w:val="left"/>
      <w:pPr>
        <w:ind w:left="2804" w:hanging="420"/>
      </w:pPr>
      <w:rPr>
        <w:rFonts w:ascii="Calibri Light" w:hAnsi="Calibri Light" w:hint="default"/>
      </w:rPr>
    </w:lvl>
    <w:lvl w:ilvl="6" w:tplc="04090001">
      <w:start w:val="1"/>
      <w:numFmt w:val="bullet"/>
      <w:lvlText w:val=""/>
      <w:lvlJc w:val="left"/>
      <w:pPr>
        <w:ind w:left="3224" w:hanging="420"/>
      </w:pPr>
      <w:rPr>
        <w:rFonts w:ascii="Calibri Light" w:hAnsi="Calibri Light" w:hint="default"/>
      </w:rPr>
    </w:lvl>
    <w:lvl w:ilvl="7" w:tplc="04090003">
      <w:start w:val="1"/>
      <w:numFmt w:val="bullet"/>
      <w:lvlText w:val=""/>
      <w:lvlJc w:val="left"/>
      <w:pPr>
        <w:ind w:left="3644" w:hanging="420"/>
      </w:pPr>
      <w:rPr>
        <w:rFonts w:ascii="Calibri Light" w:hAnsi="Calibri Light" w:hint="default"/>
      </w:rPr>
    </w:lvl>
    <w:lvl w:ilvl="8" w:tplc="04090005">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652CD7"/>
    <w:multiLevelType w:val="hybridMultilevel"/>
    <w:tmpl w:val="DB18B20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B4051C1"/>
    <w:multiLevelType w:val="hybridMultilevel"/>
    <w:tmpl w:val="ABDECDE4"/>
    <w:lvl w:ilvl="0" w:tplc="DED664A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9"/>
  </w:num>
  <w:num w:numId="6">
    <w:abstractNumId w:val="21"/>
  </w:num>
  <w:num w:numId="7">
    <w:abstractNumId w:val="27"/>
  </w:num>
  <w:num w:numId="8">
    <w:abstractNumId w:val="23"/>
  </w:num>
  <w:num w:numId="9">
    <w:abstractNumId w:val="38"/>
  </w:num>
  <w:num w:numId="10">
    <w:abstractNumId w:val="19"/>
  </w:num>
  <w:num w:numId="11">
    <w:abstractNumId w:val="29"/>
  </w:num>
  <w:num w:numId="12">
    <w:abstractNumId w:val="40"/>
  </w:num>
  <w:num w:numId="13">
    <w:abstractNumId w:val="30"/>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3"/>
  </w:num>
  <w:num w:numId="23">
    <w:abstractNumId w:val="26"/>
  </w:num>
  <w:num w:numId="24">
    <w:abstractNumId w:val="34"/>
  </w:num>
  <w:num w:numId="25">
    <w:abstractNumId w:val="44"/>
  </w:num>
  <w:num w:numId="26">
    <w:abstractNumId w:val="35"/>
  </w:num>
  <w:num w:numId="27">
    <w:abstractNumId w:val="33"/>
  </w:num>
  <w:num w:numId="28">
    <w:abstractNumId w:val="42"/>
  </w:num>
  <w:num w:numId="29">
    <w:abstractNumId w:val="37"/>
  </w:num>
  <w:num w:numId="30">
    <w:abstractNumId w:val="32"/>
  </w:num>
  <w:num w:numId="31">
    <w:abstractNumId w:val="16"/>
  </w:num>
  <w:num w:numId="32">
    <w:abstractNumId w:val="2"/>
  </w:num>
  <w:num w:numId="33">
    <w:abstractNumId w:val="1"/>
  </w:num>
  <w:num w:numId="34">
    <w:abstractNumId w:val="0"/>
  </w:num>
  <w:num w:numId="35">
    <w:abstractNumId w:val="28"/>
  </w:num>
  <w:num w:numId="36">
    <w:abstractNumId w:val="12"/>
  </w:num>
  <w:num w:numId="37">
    <w:abstractNumId w:val="18"/>
  </w:num>
  <w:num w:numId="38">
    <w:abstractNumId w:val="20"/>
  </w:num>
  <w:num w:numId="3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abstractNumId w:val="43"/>
  </w:num>
  <w:num w:numId="41">
    <w:abstractNumId w:val="22"/>
  </w:num>
  <w:num w:numId="42">
    <w:abstractNumId w:val="36"/>
  </w:num>
  <w:num w:numId="43">
    <w:abstractNumId w:val="14"/>
  </w:num>
  <w:num w:numId="44">
    <w:abstractNumId w:val="29"/>
  </w:num>
  <w:num w:numId="45">
    <w:abstractNumId w:val="15"/>
  </w:num>
  <w:num w:numId="46">
    <w:abstractNumId w:val="24"/>
  </w:num>
  <w:num w:numId="47">
    <w:abstractNumId w:val="17"/>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BC"/>
    <w:rsid w:val="00025F2B"/>
    <w:rsid w:val="00033397"/>
    <w:rsid w:val="000344A0"/>
    <w:rsid w:val="000354C5"/>
    <w:rsid w:val="00037792"/>
    <w:rsid w:val="00040095"/>
    <w:rsid w:val="00042BD2"/>
    <w:rsid w:val="000502FD"/>
    <w:rsid w:val="00080512"/>
    <w:rsid w:val="00090468"/>
    <w:rsid w:val="00096ACA"/>
    <w:rsid w:val="000B7BCF"/>
    <w:rsid w:val="000C522B"/>
    <w:rsid w:val="000D58AB"/>
    <w:rsid w:val="00112F1A"/>
    <w:rsid w:val="00113D9A"/>
    <w:rsid w:val="00121BAF"/>
    <w:rsid w:val="001338E9"/>
    <w:rsid w:val="00144381"/>
    <w:rsid w:val="00145075"/>
    <w:rsid w:val="001741A0"/>
    <w:rsid w:val="00175FA0"/>
    <w:rsid w:val="00194CD0"/>
    <w:rsid w:val="00197EDD"/>
    <w:rsid w:val="001A0A96"/>
    <w:rsid w:val="001A77EF"/>
    <w:rsid w:val="001B49C9"/>
    <w:rsid w:val="001C4F79"/>
    <w:rsid w:val="001E1E64"/>
    <w:rsid w:val="001E305D"/>
    <w:rsid w:val="001E6723"/>
    <w:rsid w:val="001E7016"/>
    <w:rsid w:val="001F168B"/>
    <w:rsid w:val="001F6A8E"/>
    <w:rsid w:val="001F7831"/>
    <w:rsid w:val="00204045"/>
    <w:rsid w:val="0020712B"/>
    <w:rsid w:val="00223D2E"/>
    <w:rsid w:val="0022606D"/>
    <w:rsid w:val="00255648"/>
    <w:rsid w:val="002747EC"/>
    <w:rsid w:val="002855BF"/>
    <w:rsid w:val="002925F2"/>
    <w:rsid w:val="002A7BC6"/>
    <w:rsid w:val="002C7132"/>
    <w:rsid w:val="002E3E5E"/>
    <w:rsid w:val="002E4E7C"/>
    <w:rsid w:val="002F0D22"/>
    <w:rsid w:val="003172DC"/>
    <w:rsid w:val="00320A7A"/>
    <w:rsid w:val="00325AE3"/>
    <w:rsid w:val="00326069"/>
    <w:rsid w:val="00326CD2"/>
    <w:rsid w:val="0035462D"/>
    <w:rsid w:val="00364B41"/>
    <w:rsid w:val="003815DE"/>
    <w:rsid w:val="003878CC"/>
    <w:rsid w:val="00394112"/>
    <w:rsid w:val="003B40AD"/>
    <w:rsid w:val="003C4E37"/>
    <w:rsid w:val="003E16BE"/>
    <w:rsid w:val="003F0CA5"/>
    <w:rsid w:val="004006E8"/>
    <w:rsid w:val="00401855"/>
    <w:rsid w:val="00440AF4"/>
    <w:rsid w:val="00443FC1"/>
    <w:rsid w:val="00463DC4"/>
    <w:rsid w:val="004671EC"/>
    <w:rsid w:val="00477455"/>
    <w:rsid w:val="004922D9"/>
    <w:rsid w:val="004A3685"/>
    <w:rsid w:val="004B1D82"/>
    <w:rsid w:val="004B21EC"/>
    <w:rsid w:val="004C44D2"/>
    <w:rsid w:val="004D3578"/>
    <w:rsid w:val="004D380D"/>
    <w:rsid w:val="004E213A"/>
    <w:rsid w:val="00503171"/>
    <w:rsid w:val="00505BEA"/>
    <w:rsid w:val="00506C28"/>
    <w:rsid w:val="005156FA"/>
    <w:rsid w:val="00534DA0"/>
    <w:rsid w:val="00543E6C"/>
    <w:rsid w:val="00547958"/>
    <w:rsid w:val="00565087"/>
    <w:rsid w:val="005654AD"/>
    <w:rsid w:val="0056573F"/>
    <w:rsid w:val="005C1C2C"/>
    <w:rsid w:val="005D42AA"/>
    <w:rsid w:val="00611566"/>
    <w:rsid w:val="00632FD0"/>
    <w:rsid w:val="00646D99"/>
    <w:rsid w:val="0065239A"/>
    <w:rsid w:val="00656910"/>
    <w:rsid w:val="006641F1"/>
    <w:rsid w:val="00682681"/>
    <w:rsid w:val="006A68F3"/>
    <w:rsid w:val="006C66D8"/>
    <w:rsid w:val="006D1E24"/>
    <w:rsid w:val="006E03CC"/>
    <w:rsid w:val="006E1417"/>
    <w:rsid w:val="006F6A2C"/>
    <w:rsid w:val="0070456F"/>
    <w:rsid w:val="00710201"/>
    <w:rsid w:val="0072187F"/>
    <w:rsid w:val="007342B5"/>
    <w:rsid w:val="00734A5B"/>
    <w:rsid w:val="00744E76"/>
    <w:rsid w:val="00757D40"/>
    <w:rsid w:val="0076378A"/>
    <w:rsid w:val="00781F0F"/>
    <w:rsid w:val="0078727C"/>
    <w:rsid w:val="0079049D"/>
    <w:rsid w:val="00793DC5"/>
    <w:rsid w:val="007A5E17"/>
    <w:rsid w:val="007B18D8"/>
    <w:rsid w:val="007B5ED8"/>
    <w:rsid w:val="007C095F"/>
    <w:rsid w:val="007C6F82"/>
    <w:rsid w:val="008028A4"/>
    <w:rsid w:val="008032A7"/>
    <w:rsid w:val="00813245"/>
    <w:rsid w:val="008768CA"/>
    <w:rsid w:val="00877EF9"/>
    <w:rsid w:val="00880559"/>
    <w:rsid w:val="0088763C"/>
    <w:rsid w:val="00887F54"/>
    <w:rsid w:val="008B5306"/>
    <w:rsid w:val="008F3B5F"/>
    <w:rsid w:val="00900E55"/>
    <w:rsid w:val="0090271F"/>
    <w:rsid w:val="00902DB9"/>
    <w:rsid w:val="0090466A"/>
    <w:rsid w:val="00906541"/>
    <w:rsid w:val="00913621"/>
    <w:rsid w:val="00926844"/>
    <w:rsid w:val="00936071"/>
    <w:rsid w:val="00940212"/>
    <w:rsid w:val="00942EC2"/>
    <w:rsid w:val="00961B32"/>
    <w:rsid w:val="00962E1A"/>
    <w:rsid w:val="00970DB3"/>
    <w:rsid w:val="00974BB0"/>
    <w:rsid w:val="0099610B"/>
    <w:rsid w:val="009A0AF3"/>
    <w:rsid w:val="009B07CD"/>
    <w:rsid w:val="009C19E9"/>
    <w:rsid w:val="009D74A6"/>
    <w:rsid w:val="00A10F02"/>
    <w:rsid w:val="00A204CA"/>
    <w:rsid w:val="00A20A60"/>
    <w:rsid w:val="00A23B20"/>
    <w:rsid w:val="00A23F95"/>
    <w:rsid w:val="00A25BB8"/>
    <w:rsid w:val="00A53724"/>
    <w:rsid w:val="00A732CE"/>
    <w:rsid w:val="00A82346"/>
    <w:rsid w:val="00A951C7"/>
    <w:rsid w:val="00A9671C"/>
    <w:rsid w:val="00AA1553"/>
    <w:rsid w:val="00AA267E"/>
    <w:rsid w:val="00AA6093"/>
    <w:rsid w:val="00AC0C98"/>
    <w:rsid w:val="00AD3E33"/>
    <w:rsid w:val="00AE49A9"/>
    <w:rsid w:val="00B02D42"/>
    <w:rsid w:val="00B111D5"/>
    <w:rsid w:val="00B15449"/>
    <w:rsid w:val="00B15856"/>
    <w:rsid w:val="00B27303"/>
    <w:rsid w:val="00B47FD1"/>
    <w:rsid w:val="00B516BB"/>
    <w:rsid w:val="00B54157"/>
    <w:rsid w:val="00B67944"/>
    <w:rsid w:val="00B72AB0"/>
    <w:rsid w:val="00B76AAF"/>
    <w:rsid w:val="00BC2094"/>
    <w:rsid w:val="00BC3555"/>
    <w:rsid w:val="00BD032B"/>
    <w:rsid w:val="00BD178D"/>
    <w:rsid w:val="00BE51A5"/>
    <w:rsid w:val="00C12B51"/>
    <w:rsid w:val="00C24650"/>
    <w:rsid w:val="00C33079"/>
    <w:rsid w:val="00C42D1B"/>
    <w:rsid w:val="00C43850"/>
    <w:rsid w:val="00C83A13"/>
    <w:rsid w:val="00C9068C"/>
    <w:rsid w:val="00C92967"/>
    <w:rsid w:val="00CA3D0C"/>
    <w:rsid w:val="00CA654B"/>
    <w:rsid w:val="00CB167C"/>
    <w:rsid w:val="00CD4C7B"/>
    <w:rsid w:val="00D02FB5"/>
    <w:rsid w:val="00D0360C"/>
    <w:rsid w:val="00D30D11"/>
    <w:rsid w:val="00D35750"/>
    <w:rsid w:val="00D3792D"/>
    <w:rsid w:val="00D55E47"/>
    <w:rsid w:val="00D62E19"/>
    <w:rsid w:val="00D65515"/>
    <w:rsid w:val="00D738D6"/>
    <w:rsid w:val="00D76185"/>
    <w:rsid w:val="00D80795"/>
    <w:rsid w:val="00D854BE"/>
    <w:rsid w:val="00D86A07"/>
    <w:rsid w:val="00D87E00"/>
    <w:rsid w:val="00D9134D"/>
    <w:rsid w:val="00D96D11"/>
    <w:rsid w:val="00DA7A03"/>
    <w:rsid w:val="00DB1818"/>
    <w:rsid w:val="00DC218C"/>
    <w:rsid w:val="00DC309B"/>
    <w:rsid w:val="00DC4DA2"/>
    <w:rsid w:val="00DF31A7"/>
    <w:rsid w:val="00DF7B1D"/>
    <w:rsid w:val="00E02AA9"/>
    <w:rsid w:val="00E15418"/>
    <w:rsid w:val="00E44160"/>
    <w:rsid w:val="00E62835"/>
    <w:rsid w:val="00E7127F"/>
    <w:rsid w:val="00E77645"/>
    <w:rsid w:val="00E83697"/>
    <w:rsid w:val="00EA287C"/>
    <w:rsid w:val="00EA3CBD"/>
    <w:rsid w:val="00EC4A25"/>
    <w:rsid w:val="00EC66BD"/>
    <w:rsid w:val="00ED434A"/>
    <w:rsid w:val="00F025A2"/>
    <w:rsid w:val="00F07388"/>
    <w:rsid w:val="00F2026E"/>
    <w:rsid w:val="00F2210A"/>
    <w:rsid w:val="00F37743"/>
    <w:rsid w:val="00F54A3D"/>
    <w:rsid w:val="00F54CB0"/>
    <w:rsid w:val="00F570A5"/>
    <w:rsid w:val="00F653B8"/>
    <w:rsid w:val="00F71B89"/>
    <w:rsid w:val="00F7353C"/>
    <w:rsid w:val="00F76635"/>
    <w:rsid w:val="00F76F8F"/>
    <w:rsid w:val="00F97ABD"/>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 w:type="character" w:customStyle="1" w:styleId="Heading1Char">
    <w:name w:val="Heading 1 Char"/>
    <w:basedOn w:val="DefaultParagraphFont"/>
    <w:link w:val="Heading1"/>
    <w:rsid w:val="00B72AB0"/>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72AB0"/>
    <w:rPr>
      <w:rFonts w:ascii="Arial" w:hAnsi="Arial"/>
      <w:sz w:val="32"/>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B72A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2AB0"/>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B72AB0"/>
    <w:rPr>
      <w:rFonts w:ascii="Arial" w:hAnsi="Arial"/>
      <w:sz w:val="22"/>
      <w:lang w:eastAsia="en-US"/>
    </w:rPr>
  </w:style>
  <w:style w:type="character" w:customStyle="1" w:styleId="Heading6Char">
    <w:name w:val="Heading 6 Char"/>
    <w:basedOn w:val="DefaultParagraphFont"/>
    <w:link w:val="Heading6"/>
    <w:rsid w:val="00B72AB0"/>
    <w:rPr>
      <w:rFonts w:ascii="Arial" w:hAnsi="Arial"/>
      <w:lang w:eastAsia="en-US"/>
    </w:rPr>
  </w:style>
  <w:style w:type="character" w:customStyle="1" w:styleId="Heading7Char">
    <w:name w:val="Heading 7 Char"/>
    <w:basedOn w:val="DefaultParagraphFont"/>
    <w:link w:val="Heading7"/>
    <w:rsid w:val="00B72AB0"/>
    <w:rPr>
      <w:rFonts w:ascii="Arial" w:hAnsi="Arial"/>
      <w:lang w:eastAsia="en-US"/>
    </w:rPr>
  </w:style>
  <w:style w:type="character" w:customStyle="1" w:styleId="Heading8Char">
    <w:name w:val="Heading 8 Char"/>
    <w:basedOn w:val="DefaultParagraphFont"/>
    <w:link w:val="Heading8"/>
    <w:rsid w:val="00B72AB0"/>
    <w:rPr>
      <w:rFonts w:ascii="Arial" w:hAnsi="Arial"/>
      <w:sz w:val="36"/>
      <w:lang w:eastAsia="en-US"/>
    </w:rPr>
  </w:style>
  <w:style w:type="character" w:customStyle="1" w:styleId="Heading9Char">
    <w:name w:val="Heading 9 Char"/>
    <w:basedOn w:val="DefaultParagraphFont"/>
    <w:link w:val="Heading9"/>
    <w:rsid w:val="00B72AB0"/>
    <w:rPr>
      <w:rFonts w:ascii="Arial" w:hAnsi="Arial"/>
      <w:sz w:val="36"/>
      <w:lang w:eastAsia="en-US"/>
    </w:rPr>
  </w:style>
  <w:style w:type="paragraph" w:styleId="Index2">
    <w:name w:val="index 2"/>
    <w:basedOn w:val="Index1"/>
    <w:rsid w:val="00B72AB0"/>
    <w:pPr>
      <w:ind w:left="284"/>
    </w:pPr>
  </w:style>
  <w:style w:type="paragraph" w:styleId="Index1">
    <w:name w:val="index 1"/>
    <w:basedOn w:val="Normal"/>
    <w:rsid w:val="00B72AB0"/>
    <w:pPr>
      <w:keepLines/>
      <w:spacing w:after="0"/>
    </w:pPr>
  </w:style>
  <w:style w:type="paragraph" w:styleId="ListNumber2">
    <w:name w:val="List Number 2"/>
    <w:basedOn w:val="ListNumber"/>
    <w:rsid w:val="00B72AB0"/>
    <w:pPr>
      <w:ind w:left="851"/>
    </w:pPr>
  </w:style>
  <w:style w:type="character" w:styleId="FootnoteReference">
    <w:name w:val="footnote reference"/>
    <w:rsid w:val="00B72AB0"/>
    <w:rPr>
      <w:b/>
      <w:position w:val="6"/>
      <w:sz w:val="16"/>
    </w:rPr>
  </w:style>
  <w:style w:type="paragraph" w:styleId="FootnoteText">
    <w:name w:val="footnote text"/>
    <w:basedOn w:val="Normal"/>
    <w:link w:val="FootnoteTextChar"/>
    <w:rsid w:val="00B72AB0"/>
    <w:pPr>
      <w:keepLines/>
      <w:spacing w:after="0"/>
      <w:ind w:left="454" w:hanging="454"/>
    </w:pPr>
    <w:rPr>
      <w:sz w:val="16"/>
    </w:rPr>
  </w:style>
  <w:style w:type="character" w:customStyle="1" w:styleId="FootnoteTextChar">
    <w:name w:val="Footnote Text Char"/>
    <w:basedOn w:val="DefaultParagraphFont"/>
    <w:link w:val="FootnoteText"/>
    <w:rsid w:val="00B72AB0"/>
    <w:rPr>
      <w:sz w:val="16"/>
      <w:lang w:eastAsia="en-US"/>
    </w:rPr>
  </w:style>
  <w:style w:type="paragraph" w:styleId="ListBullet2">
    <w:name w:val="List Bullet 2"/>
    <w:basedOn w:val="ListBullet"/>
    <w:rsid w:val="00B72AB0"/>
    <w:pPr>
      <w:ind w:left="851"/>
    </w:pPr>
  </w:style>
  <w:style w:type="paragraph" w:styleId="ListBullet3">
    <w:name w:val="List Bullet 3"/>
    <w:basedOn w:val="ListBullet2"/>
    <w:rsid w:val="00B72AB0"/>
    <w:pPr>
      <w:ind w:left="1135"/>
    </w:pPr>
  </w:style>
  <w:style w:type="paragraph" w:styleId="ListNumber">
    <w:name w:val="List Number"/>
    <w:basedOn w:val="List"/>
    <w:rsid w:val="00B72AB0"/>
  </w:style>
  <w:style w:type="paragraph" w:styleId="List2">
    <w:name w:val="List 2"/>
    <w:basedOn w:val="List"/>
    <w:rsid w:val="00B72AB0"/>
    <w:pPr>
      <w:ind w:left="851"/>
    </w:pPr>
  </w:style>
  <w:style w:type="paragraph" w:styleId="List3">
    <w:name w:val="List 3"/>
    <w:basedOn w:val="List2"/>
    <w:rsid w:val="00B72AB0"/>
    <w:pPr>
      <w:ind w:left="1135"/>
    </w:pPr>
  </w:style>
  <w:style w:type="paragraph" w:styleId="List4">
    <w:name w:val="List 4"/>
    <w:basedOn w:val="List3"/>
    <w:rsid w:val="00B72AB0"/>
    <w:pPr>
      <w:ind w:left="1418"/>
    </w:pPr>
  </w:style>
  <w:style w:type="paragraph" w:styleId="List5">
    <w:name w:val="List 5"/>
    <w:basedOn w:val="List4"/>
    <w:rsid w:val="00B72AB0"/>
    <w:pPr>
      <w:ind w:left="1702"/>
    </w:pPr>
  </w:style>
  <w:style w:type="paragraph" w:styleId="List">
    <w:name w:val="List"/>
    <w:basedOn w:val="Normal"/>
    <w:rsid w:val="00B72AB0"/>
    <w:pPr>
      <w:ind w:left="568" w:hanging="284"/>
    </w:pPr>
  </w:style>
  <w:style w:type="paragraph" w:styleId="ListBullet">
    <w:name w:val="List Bullet"/>
    <w:basedOn w:val="List"/>
    <w:rsid w:val="00B72AB0"/>
  </w:style>
  <w:style w:type="paragraph" w:styleId="ListBullet4">
    <w:name w:val="List Bullet 4"/>
    <w:basedOn w:val="ListBullet3"/>
    <w:rsid w:val="00B72AB0"/>
    <w:pPr>
      <w:ind w:left="1418"/>
    </w:pPr>
  </w:style>
  <w:style w:type="paragraph" w:styleId="ListBullet5">
    <w:name w:val="List Bullet 5"/>
    <w:basedOn w:val="ListBullet4"/>
    <w:rsid w:val="00B72AB0"/>
    <w:pPr>
      <w:ind w:left="1702"/>
    </w:pPr>
  </w:style>
  <w:style w:type="character" w:customStyle="1" w:styleId="FooterChar">
    <w:name w:val="Footer Char"/>
    <w:basedOn w:val="DefaultParagraphFont"/>
    <w:link w:val="Footer"/>
    <w:rsid w:val="00B72AB0"/>
    <w:rPr>
      <w:rFonts w:ascii="Arial" w:hAnsi="Arial"/>
      <w:b/>
      <w:i/>
      <w:noProof/>
      <w:sz w:val="18"/>
      <w:lang w:eastAsia="ja-JP"/>
    </w:rPr>
  </w:style>
  <w:style w:type="paragraph" w:customStyle="1" w:styleId="tdoc-header">
    <w:name w:val="tdoc-header"/>
    <w:rsid w:val="00B72AB0"/>
    <w:rPr>
      <w:rFonts w:ascii="Arial" w:hAnsi="Arial"/>
      <w:noProof/>
      <w:sz w:val="24"/>
      <w:lang w:eastAsia="en-US"/>
    </w:rPr>
  </w:style>
  <w:style w:type="character" w:styleId="FollowedHyperlink">
    <w:name w:val="FollowedHyperlink"/>
    <w:rsid w:val="00B72AB0"/>
    <w:rPr>
      <w:color w:val="800080"/>
      <w:u w:val="single"/>
    </w:rPr>
  </w:style>
  <w:style w:type="table" w:styleId="TableGrid">
    <w:name w:val="Table Grid"/>
    <w:basedOn w:val="TableNormal"/>
    <w:rsid w:val="00B72AB0"/>
    <w:rPr>
      <w:rFonts w:ascii="CG Times (WN)" w:hAnsi="CG Times (W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72AB0"/>
    <w:rPr>
      <w:rFonts w:ascii="Arial" w:hAnsi="Arial"/>
      <w:sz w:val="18"/>
      <w:lang w:eastAsia="en-US"/>
    </w:rPr>
  </w:style>
  <w:style w:type="character" w:customStyle="1" w:styleId="TAHChar">
    <w:name w:val="TAH Char"/>
    <w:link w:val="TAH"/>
    <w:rsid w:val="00B72AB0"/>
    <w:rPr>
      <w:rFonts w:ascii="Arial" w:hAnsi="Arial"/>
      <w:b/>
      <w:sz w:val="18"/>
      <w:lang w:eastAsia="en-US"/>
    </w:rPr>
  </w:style>
  <w:style w:type="character" w:customStyle="1" w:styleId="TACChar">
    <w:name w:val="TAC Char"/>
    <w:link w:val="TAC"/>
    <w:rsid w:val="00B72AB0"/>
    <w:rPr>
      <w:rFonts w:ascii="Arial" w:hAnsi="Arial"/>
      <w:sz w:val="18"/>
      <w:lang w:eastAsia="en-US"/>
    </w:rPr>
  </w:style>
  <w:style w:type="character" w:customStyle="1" w:styleId="THChar">
    <w:name w:val="TH Char"/>
    <w:link w:val="TH"/>
    <w:rsid w:val="00B72AB0"/>
    <w:rPr>
      <w:rFonts w:ascii="Arial" w:hAnsi="Arial"/>
      <w:b/>
      <w:lang w:eastAsia="en-US"/>
    </w:rPr>
  </w:style>
  <w:style w:type="character" w:customStyle="1" w:styleId="TFZchn">
    <w:name w:val="TF Zchn"/>
    <w:link w:val="TF"/>
    <w:rsid w:val="00B72AB0"/>
    <w:rPr>
      <w:rFonts w:ascii="Arial" w:hAnsi="Arial"/>
      <w:b/>
      <w:lang w:eastAsia="en-US"/>
    </w:rPr>
  </w:style>
  <w:style w:type="character" w:customStyle="1" w:styleId="B1Char">
    <w:name w:val="B1 Char"/>
    <w:link w:val="B1"/>
    <w:rsid w:val="00B72AB0"/>
    <w:rPr>
      <w:lang w:eastAsia="en-US"/>
    </w:rPr>
  </w:style>
  <w:style w:type="character" w:customStyle="1" w:styleId="PLChar">
    <w:name w:val="PL Char"/>
    <w:link w:val="PL"/>
    <w:rsid w:val="00B72AB0"/>
    <w:rPr>
      <w:rFonts w:ascii="Courier New" w:hAnsi="Courier New"/>
      <w:noProof/>
      <w:sz w:val="16"/>
      <w:lang w:eastAsia="en-US"/>
    </w:rPr>
  </w:style>
  <w:style w:type="character" w:customStyle="1" w:styleId="B2Car">
    <w:name w:val="B2 Car"/>
    <w:link w:val="B2"/>
    <w:locked/>
    <w:rsid w:val="00B72AB0"/>
    <w:rPr>
      <w:lang w:eastAsia="en-US"/>
    </w:rPr>
  </w:style>
  <w:style w:type="paragraph" w:customStyle="1" w:styleId="TALLeft1cm">
    <w:name w:val="TAL + Left:  1 cm"/>
    <w:basedOn w:val="TAL"/>
    <w:rsid w:val="00B72AB0"/>
    <w:pPr>
      <w:overflowPunct w:val="0"/>
      <w:autoSpaceDE w:val="0"/>
      <w:autoSpaceDN w:val="0"/>
      <w:adjustRightInd w:val="0"/>
      <w:ind w:left="567"/>
      <w:textAlignment w:val="baseline"/>
    </w:pPr>
    <w:rPr>
      <w:lang w:val="x-none" w:eastAsia="en-GB"/>
    </w:rPr>
  </w:style>
  <w:style w:type="character" w:customStyle="1" w:styleId="EditorsNoteChar">
    <w:name w:val="Editor's Note Char"/>
    <w:link w:val="EditorsNote"/>
    <w:rsid w:val="00B72AB0"/>
    <w:rPr>
      <w:color w:val="FF0000"/>
      <w:lang w:eastAsia="en-US"/>
    </w:rPr>
  </w:style>
  <w:style w:type="character" w:customStyle="1" w:styleId="TALCar">
    <w:name w:val="TAL Car"/>
    <w:rsid w:val="00B72AB0"/>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2AB0"/>
    <w:rPr>
      <w:rFonts w:ascii="Arial" w:hAnsi="Arial"/>
      <w:sz w:val="28"/>
      <w:lang w:val="en-GB" w:eastAsia="en-GB"/>
    </w:rPr>
  </w:style>
  <w:style w:type="paragraph" w:customStyle="1" w:styleId="TALLeft0">
    <w:name w:val="TAL + Left:  0"/>
    <w:aliases w:val="25 cm"/>
    <w:basedOn w:val="TAL"/>
    <w:rsid w:val="00B72A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B72AB0"/>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B72AB0"/>
    <w:rPr>
      <w:lang w:eastAsia="en-US"/>
    </w:rPr>
  </w:style>
  <w:style w:type="character" w:customStyle="1" w:styleId="TFChar">
    <w:name w:val="TF Char"/>
    <w:rsid w:val="00B72AB0"/>
    <w:rPr>
      <w:rFonts w:ascii="Arial" w:hAnsi="Arial"/>
      <w:b/>
      <w:lang w:eastAsia="en-US"/>
    </w:rPr>
  </w:style>
  <w:style w:type="character" w:customStyle="1" w:styleId="a">
    <w:name w:val="首标题"/>
    <w:rsid w:val="00B72AB0"/>
    <w:rPr>
      <w:rFonts w:ascii="Arial" w:eastAsia="SimSun" w:hAnsi="Arial"/>
      <w:sz w:val="24"/>
      <w:lang w:val="en-US" w:eastAsia="zh-CN" w:bidi="ar-SA"/>
    </w:rPr>
  </w:style>
  <w:style w:type="paragraph" w:customStyle="1" w:styleId="BodyC">
    <w:name w:val="Body C"/>
    <w:rsid w:val="00B72AB0"/>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B72AB0"/>
    <w:rPr>
      <w:lang w:eastAsia="en-US"/>
    </w:rPr>
  </w:style>
  <w:style w:type="character" w:customStyle="1" w:styleId="msoins0">
    <w:name w:val="msoins"/>
    <w:rsid w:val="00B72AB0"/>
  </w:style>
  <w:style w:type="character" w:styleId="Emphasis">
    <w:name w:val="Emphasis"/>
    <w:qFormat/>
    <w:rsid w:val="00B72AB0"/>
    <w:rPr>
      <w:i/>
      <w:iCs/>
    </w:rPr>
  </w:style>
  <w:style w:type="paragraph" w:customStyle="1" w:styleId="Standard1">
    <w:name w:val="Standard1"/>
    <w:basedOn w:val="Normal"/>
    <w:link w:val="StandardZchn"/>
    <w:rsid w:val="00B72AB0"/>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B72AB0"/>
    <w:rPr>
      <w:rFonts w:ascii="Arial" w:eastAsia="SimSun" w:hAnsi="Arial"/>
      <w:szCs w:val="22"/>
    </w:rPr>
  </w:style>
  <w:style w:type="paragraph" w:customStyle="1" w:styleId="pl0">
    <w:name w:val="pl"/>
    <w:basedOn w:val="Normal"/>
    <w:rsid w:val="00B72A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2AB0"/>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B72AB0"/>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B72AB0"/>
    <w:rPr>
      <w:rFonts w:ascii="Arial" w:eastAsia="SimSun" w:hAnsi="Arial"/>
      <w:lang w:val="x-none"/>
    </w:rPr>
  </w:style>
  <w:style w:type="paragraph" w:customStyle="1" w:styleId="SpecText">
    <w:name w:val="SpecText"/>
    <w:basedOn w:val="Normal"/>
    <w:rsid w:val="00B72A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2A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B72AB0"/>
  </w:style>
  <w:style w:type="paragraph" w:customStyle="1" w:styleId="StyleTALLeft075cm">
    <w:name w:val="Style TAL + Left:  075 cm"/>
    <w:basedOn w:val="TAL"/>
    <w:rsid w:val="00B72AB0"/>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B72AB0"/>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B72AB0"/>
    <w:rPr>
      <w:rFonts w:ascii="Geneva" w:eastAsia="SimSun" w:hAnsi="Geneva"/>
      <w:sz w:val="18"/>
    </w:rPr>
  </w:style>
  <w:style w:type="paragraph" w:customStyle="1" w:styleId="TALLeft125cm">
    <w:name w:val="TAL + Left: 125 cm"/>
    <w:basedOn w:val="StyleTALLeft075cm"/>
    <w:rsid w:val="00B72A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2AB0"/>
    <w:pPr>
      <w:ind w:left="851"/>
    </w:pPr>
    <w:rPr>
      <w:rFonts w:eastAsia="Arial"/>
    </w:rPr>
  </w:style>
  <w:style w:type="character" w:customStyle="1" w:styleId="B1Zchn">
    <w:name w:val="B1 Zchn"/>
    <w:locked/>
    <w:rsid w:val="00B72AB0"/>
    <w:rPr>
      <w:lang w:val="en-GB" w:eastAsia="en-US" w:bidi="ar-SA"/>
    </w:rPr>
  </w:style>
  <w:style w:type="character" w:customStyle="1" w:styleId="TAHCar">
    <w:name w:val="TAH Car"/>
    <w:rsid w:val="00B72AB0"/>
    <w:rPr>
      <w:rFonts w:ascii="Geneva" w:hAnsi="Geneva"/>
      <w:b/>
      <w:sz w:val="18"/>
      <w:lang w:val="en-GB" w:eastAsia="en-US"/>
    </w:rPr>
  </w:style>
  <w:style w:type="character" w:customStyle="1" w:styleId="NOChar">
    <w:name w:val="NO Char"/>
    <w:rsid w:val="00B72AB0"/>
    <w:rPr>
      <w:rFonts w:ascii="Geneva" w:eastAsia="Calibri Light" w:hAnsi="Geneva" w:cs="Geneva"/>
      <w:color w:val="0000FF"/>
      <w:kern w:val="2"/>
      <w:lang w:val="en-GB" w:eastAsia="en-US" w:bidi="ar-SA"/>
    </w:rPr>
  </w:style>
  <w:style w:type="character" w:customStyle="1" w:styleId="B2Char">
    <w:name w:val="B2 Char"/>
    <w:rsid w:val="00B72AB0"/>
    <w:rPr>
      <w:rFonts w:ascii="Geneva" w:eastAsia="Calibri Light" w:hAnsi="Geneva" w:cs="Geneva"/>
      <w:color w:val="0000FF"/>
      <w:kern w:val="2"/>
      <w:lang w:val="en-GB" w:eastAsia="en-US" w:bidi="ar-SA"/>
    </w:rPr>
  </w:style>
  <w:style w:type="paragraph" w:styleId="IndexHeading">
    <w:name w:val="index heading"/>
    <w:basedOn w:val="Normal"/>
    <w:next w:val="Normal"/>
    <w:rsid w:val="00B72A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2A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2A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2A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2A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2A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2A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2AB0"/>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2AB0"/>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2AB0"/>
    <w:rPr>
      <w:rFonts w:ascii="Geneva" w:eastAsia="Geneva" w:hAnsi="Geneva"/>
      <w:lang w:val="nb-NO" w:eastAsia="x-none"/>
    </w:rPr>
  </w:style>
  <w:style w:type="paragraph" w:customStyle="1" w:styleId="00BodyText">
    <w:name w:val="00 BodyText"/>
    <w:basedOn w:val="Normal"/>
    <w:rsid w:val="00B72A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2A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2AB0"/>
    <w:rPr>
      <w:rFonts w:ascii="Arial" w:eastAsia="Geneva" w:hAnsi="Arial"/>
      <w:lang w:eastAsia="x-none"/>
    </w:rPr>
  </w:style>
  <w:style w:type="paragraph" w:customStyle="1" w:styleId="BalloonText1">
    <w:name w:val="Balloon Text1"/>
    <w:basedOn w:val="Normal"/>
    <w:semiHidden/>
    <w:rsid w:val="00B72A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2AB0"/>
    <w:pPr>
      <w:keepNext/>
      <w:numPr>
        <w:numId w:val="4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2AB0"/>
    <w:rPr>
      <w:rFonts w:ascii="Arial" w:eastAsia="Geneva" w:hAnsi="Arial"/>
      <w:b/>
      <w:bCs/>
      <w:lang w:eastAsia="x-none"/>
    </w:rPr>
  </w:style>
  <w:style w:type="paragraph" w:customStyle="1" w:styleId="Char3CharCharCharCharChar">
    <w:name w:val="Char3 Char Char Char (文字) (文字) Char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2A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2A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2A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2A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2A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72AB0"/>
    <w:rPr>
      <w:rFonts w:ascii="Geneva" w:eastAsia="Calibri Light" w:hAnsi="Geneva" w:cs="Geneva"/>
      <w:color w:val="FF0000"/>
      <w:kern w:val="2"/>
      <w:lang w:val="en-GB" w:eastAsia="en-US" w:bidi="ar-SA"/>
    </w:rPr>
  </w:style>
  <w:style w:type="paragraph" w:customStyle="1" w:styleId="BalloonText2">
    <w:name w:val="Balloon Text2"/>
    <w:basedOn w:val="Normal"/>
    <w:semiHidden/>
    <w:rsid w:val="00B72AB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2A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2AB0"/>
    <w:rPr>
      <w:rFonts w:ascii="Geneva" w:eastAsia="Geneva" w:hAnsi="Geneva" w:cs="Geneva"/>
      <w:color w:val="0000FF"/>
      <w:kern w:val="2"/>
      <w:lang w:val="en-GB" w:eastAsia="en-US" w:bidi="ar-SA"/>
    </w:rPr>
  </w:style>
  <w:style w:type="character" w:customStyle="1" w:styleId="B1Char1">
    <w:name w:val="B1 Char1"/>
    <w:rsid w:val="00B72AB0"/>
    <w:rPr>
      <w:rFonts w:ascii="Geneva" w:eastAsia="Calibri Light" w:hAnsi="Geneva" w:cs="Geneva"/>
      <w:color w:val="0000FF"/>
      <w:kern w:val="2"/>
      <w:lang w:val="en-GB" w:eastAsia="en-US" w:bidi="ar-SA"/>
    </w:rPr>
  </w:style>
  <w:style w:type="paragraph" w:customStyle="1" w:styleId="CarCar">
    <w:name w:val="Car Car"/>
    <w:semiHidden/>
    <w:rsid w:val="00B72A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2A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2AB0"/>
    <w:rPr>
      <w:rFonts w:ascii="Geneva" w:eastAsia="Calibri Light" w:hAnsi="Geneva" w:cs="Geneva"/>
      <w:color w:val="0000FF"/>
      <w:kern w:val="2"/>
      <w:lang w:val="en-US" w:eastAsia="zh-CN" w:bidi="ar-SA"/>
    </w:rPr>
  </w:style>
  <w:style w:type="character" w:styleId="Strong">
    <w:name w:val="Strong"/>
    <w:qFormat/>
    <w:rsid w:val="00B72AB0"/>
    <w:rPr>
      <w:rFonts w:ascii="Geneva" w:eastAsia="Calibri Light" w:hAnsi="Geneva" w:cs="Geneva"/>
      <w:b/>
      <w:bCs/>
      <w:color w:val="0000FF"/>
      <w:kern w:val="2"/>
      <w:lang w:val="en-US" w:eastAsia="zh-CN" w:bidi="ar-SA"/>
    </w:rPr>
  </w:style>
  <w:style w:type="character" w:customStyle="1" w:styleId="TFleftCharChar">
    <w:name w:val="TF;left Char Char"/>
    <w:rsid w:val="00B72AB0"/>
    <w:rPr>
      <w:rFonts w:ascii="Geneva" w:eastAsia="Calibri Light" w:hAnsi="Geneva" w:cs="Geneva"/>
      <w:b/>
      <w:color w:val="0000FF"/>
      <w:kern w:val="2"/>
      <w:lang w:val="en-GB" w:eastAsia="en-GB" w:bidi="ar-SA"/>
    </w:rPr>
  </w:style>
  <w:style w:type="character" w:customStyle="1" w:styleId="CharChar2">
    <w:name w:val="Char Char2"/>
    <w:rsid w:val="00B72AB0"/>
    <w:rPr>
      <w:rFonts w:ascii="Arial" w:eastAsia="Geneva" w:hAnsi="Arial"/>
      <w:lang w:val="en-GB" w:eastAsia="en-US"/>
    </w:rPr>
  </w:style>
  <w:style w:type="character" w:customStyle="1" w:styleId="H6Char">
    <w:name w:val="H6 Char"/>
    <w:link w:val="H6"/>
    <w:rsid w:val="00B72AB0"/>
    <w:rPr>
      <w:rFonts w:ascii="Arial" w:hAnsi="Arial"/>
      <w:lang w:eastAsia="en-US"/>
    </w:rPr>
  </w:style>
  <w:style w:type="paragraph" w:customStyle="1" w:styleId="p1">
    <w:name w:val="p1"/>
    <w:basedOn w:val="Normal"/>
    <w:rsid w:val="00B72A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B72AB0"/>
    <w:rPr>
      <w:lang w:eastAsia="en-US"/>
    </w:rPr>
  </w:style>
  <w:style w:type="paragraph" w:customStyle="1" w:styleId="Note-Boxed">
    <w:name w:val="Note - Boxed"/>
    <w:basedOn w:val="Normal"/>
    <w:next w:val="Normal"/>
    <w:rsid w:val="00B72A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2AB0"/>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B72AB0"/>
  </w:style>
  <w:style w:type="table" w:customStyle="1" w:styleId="TableGrid1">
    <w:name w:val="Table Grid1"/>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2AB0"/>
  </w:style>
  <w:style w:type="table" w:customStyle="1" w:styleId="TableGrid2">
    <w:name w:val="Table Grid2"/>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2AB0"/>
    <w:rPr>
      <w:rFonts w:ascii="Consolas" w:hAnsi="Consolas"/>
      <w:sz w:val="21"/>
      <w:szCs w:val="21"/>
      <w:lang w:bidi="ar-SA"/>
    </w:rPr>
  </w:style>
  <w:style w:type="paragraph" w:customStyle="1" w:styleId="2">
    <w:name w:val="编号2"/>
    <w:basedOn w:val="Normal"/>
    <w:rsid w:val="00B72AB0"/>
    <w:pPr>
      <w:numPr>
        <w:numId w:val="48"/>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72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B72AB0"/>
    <w:rPr>
      <w:rFonts w:ascii="Courier New" w:eastAsia="SimSu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2</Pages>
  <Words>602</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Indication of the RLC re-establishment at the assisting node</vt:lpstr>
    </vt:vector>
  </TitlesOfParts>
  <Company>Nokia Siemens Networks</Company>
  <LinksUpToDate>false</LinksUpToDate>
  <CharactersWithSpaces>4207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of the RLC re-establishment</dc:title>
  <dc:subject>3GPP RAN3 #AH-1807</dc:subject>
  <dc:creator>Nokia</dc:creator>
  <cp:lastModifiedBy>Nokia</cp:lastModifiedBy>
  <cp:revision>7</cp:revision>
  <dcterms:created xsi:type="dcterms:W3CDTF">2018-06-21T11:36:00Z</dcterms:created>
  <dcterms:modified xsi:type="dcterms:W3CDTF">2018-06-25T14:12:00Z</dcterms:modified>
</cp:coreProperties>
</file>